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4674" w14:textId="77777777" w:rsidR="002C7A74" w:rsidRPr="008A19D9" w:rsidRDefault="002C7A74" w:rsidP="002C7A74">
      <w:pPr>
        <w:spacing w:after="160" w:line="259" w:lineRule="auto"/>
        <w:rPr>
          <w:rFonts w:cs="Times New Roman"/>
          <w:szCs w:val="22"/>
        </w:rPr>
      </w:pPr>
      <w:r w:rsidRPr="008A19D9">
        <w:rPr>
          <w:rFonts w:cs="Times New Roman"/>
          <w:i/>
          <w:iCs/>
          <w:szCs w:val="22"/>
        </w:rPr>
        <w:t>Tax &amp; Business Alert</w:t>
      </w:r>
      <w:r w:rsidRPr="008A19D9">
        <w:rPr>
          <w:rFonts w:cs="Times New Roman"/>
          <w:szCs w:val="22"/>
        </w:rPr>
        <w:t xml:space="preserve"> – February 2025</w:t>
      </w:r>
    </w:p>
    <w:p w14:paraId="5BD2C0E8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</w:rPr>
      </w:pPr>
    </w:p>
    <w:p w14:paraId="3F3F6C48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371494">
        <w:rPr>
          <w:rFonts w:eastAsia="Times New Roman" w:cs="Times New Roman"/>
        </w:rPr>
        <w:t xml:space="preserve">Abstract: Section 179 </w:t>
      </w:r>
      <w:r>
        <w:rPr>
          <w:rFonts w:eastAsia="Times New Roman" w:cs="Times New Roman"/>
        </w:rPr>
        <w:t xml:space="preserve">of the tax code </w:t>
      </w:r>
      <w:r w:rsidRPr="00371494">
        <w:rPr>
          <w:rFonts w:eastAsia="Times New Roman" w:cs="Times New Roman"/>
        </w:rPr>
        <w:t>provides opportunities for substantial first-year depreciation deductions when a business places newly acquired qualifying assets into service. The Sec</w:t>
      </w:r>
      <w:r>
        <w:rPr>
          <w:rFonts w:eastAsia="Times New Roman" w:cs="Times New Roman"/>
        </w:rPr>
        <w:t>.</w:t>
      </w:r>
      <w:r w:rsidRPr="00371494">
        <w:rPr>
          <w:rFonts w:eastAsia="Times New Roman" w:cs="Times New Roman"/>
        </w:rPr>
        <w:t xml:space="preserve"> 179 </w:t>
      </w:r>
      <w:r>
        <w:rPr>
          <w:rFonts w:eastAsia="Times New Roman" w:cs="Times New Roman"/>
        </w:rPr>
        <w:t xml:space="preserve">deduction amounts </w:t>
      </w:r>
      <w:r w:rsidRPr="00371494">
        <w:rPr>
          <w:rFonts w:eastAsia="Times New Roman" w:cs="Times New Roman"/>
        </w:rPr>
        <w:t xml:space="preserve">change annually due to inflation adjustments and certain limitations apply. Additionally, it’s important to consider any available first-year bonus depreciation </w:t>
      </w:r>
      <w:r>
        <w:rPr>
          <w:rFonts w:eastAsia="Times New Roman" w:cs="Times New Roman"/>
        </w:rPr>
        <w:t xml:space="preserve">deductions </w:t>
      </w:r>
      <w:r w:rsidRPr="00371494">
        <w:rPr>
          <w:rFonts w:eastAsia="Times New Roman" w:cs="Times New Roman"/>
        </w:rPr>
        <w:t>when making decisions. Here’s what business owner</w:t>
      </w:r>
      <w:r>
        <w:rPr>
          <w:rFonts w:eastAsia="Times New Roman" w:cs="Times New Roman"/>
        </w:rPr>
        <w:t>s</w:t>
      </w:r>
      <w:r w:rsidRPr="00371494">
        <w:rPr>
          <w:rFonts w:eastAsia="Times New Roman" w:cs="Times New Roman"/>
        </w:rPr>
        <w:t xml:space="preserve"> need to know to optimize these tax benefits.</w:t>
      </w:r>
    </w:p>
    <w:p w14:paraId="7F29E47D" w14:textId="77777777" w:rsidR="002C7A74" w:rsidRPr="00C16490" w:rsidRDefault="002C7A74" w:rsidP="002C7A74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</w:rPr>
      </w:pPr>
      <w:r w:rsidRPr="00C16490">
        <w:rPr>
          <w:rFonts w:eastAsia="Times New Roman" w:cs="Times New Roman"/>
          <w:b/>
          <w:bCs/>
          <w:sz w:val="28"/>
          <w:szCs w:val="28"/>
        </w:rPr>
        <w:t>Updated guide to robust depreciation write-offs for your business</w:t>
      </w:r>
    </w:p>
    <w:p w14:paraId="052F838E" w14:textId="77777777" w:rsidR="002C7A74" w:rsidRPr="00371494" w:rsidRDefault="002C7A74" w:rsidP="002C7A74">
      <w:pPr>
        <w:spacing w:before="100" w:beforeAutospacing="1" w:after="100" w:afterAutospacing="1"/>
        <w:rPr>
          <w:rFonts w:cs="Times New Roman"/>
        </w:rPr>
      </w:pPr>
      <w:r w:rsidRPr="00371494">
        <w:rPr>
          <w:rFonts w:cs="Times New Roman"/>
        </w:rPr>
        <w:t xml:space="preserve">When your business places newly acquired qualifying assets into service, </w:t>
      </w:r>
      <w:r>
        <w:rPr>
          <w:rFonts w:cs="Times New Roman"/>
        </w:rPr>
        <w:t>tax-saving benefits are generally</w:t>
      </w:r>
      <w:r w:rsidRPr="00371494">
        <w:rPr>
          <w:rFonts w:cs="Times New Roman"/>
        </w:rPr>
        <w:t xml:space="preserve"> available. </w:t>
      </w:r>
      <w:r>
        <w:rPr>
          <w:rFonts w:cs="Times New Roman"/>
        </w:rPr>
        <w:t xml:space="preserve">Under </w:t>
      </w:r>
      <w:r w:rsidRPr="00371494">
        <w:rPr>
          <w:rFonts w:cs="Times New Roman"/>
        </w:rPr>
        <w:t xml:space="preserve">Section 179 </w:t>
      </w:r>
      <w:r>
        <w:rPr>
          <w:rFonts w:cs="Times New Roman"/>
        </w:rPr>
        <w:t>of the tax code,</w:t>
      </w:r>
      <w:r w:rsidRPr="00371494">
        <w:rPr>
          <w:rFonts w:cs="Times New Roman"/>
        </w:rPr>
        <w:t xml:space="preserve"> businesses </w:t>
      </w:r>
      <w:r>
        <w:rPr>
          <w:rFonts w:cs="Times New Roman"/>
        </w:rPr>
        <w:t>can</w:t>
      </w:r>
      <w:r w:rsidRPr="00371494">
        <w:rPr>
          <w:rFonts w:cs="Times New Roman"/>
        </w:rPr>
        <w:t xml:space="preserve"> take substantial depreciation deductions, with limits </w:t>
      </w:r>
      <w:r>
        <w:rPr>
          <w:rFonts w:cs="Times New Roman"/>
        </w:rPr>
        <w:t>based on</w:t>
      </w:r>
      <w:r w:rsidRPr="00371494">
        <w:rPr>
          <w:rFonts w:cs="Times New Roman"/>
        </w:rPr>
        <w:t xml:space="preserve"> the</w:t>
      </w:r>
      <w:r>
        <w:rPr>
          <w:rFonts w:cs="Times New Roman"/>
        </w:rPr>
        <w:t>ir</w:t>
      </w:r>
      <w:r w:rsidRPr="00371494">
        <w:rPr>
          <w:rFonts w:cs="Times New Roman"/>
        </w:rPr>
        <w:t xml:space="preserve"> taxable income. The </w:t>
      </w:r>
      <w:r>
        <w:rPr>
          <w:rFonts w:cs="Times New Roman"/>
        </w:rPr>
        <w:t>deduction amounts</w:t>
      </w:r>
      <w:r w:rsidRPr="00371494">
        <w:rPr>
          <w:rFonts w:cs="Times New Roman"/>
        </w:rPr>
        <w:t xml:space="preserve"> for Sec. 179 are adjusted annually for inflation, including the maximum deduction and phaseout threshold. </w:t>
      </w:r>
    </w:p>
    <w:p w14:paraId="0AD68088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</w:rPr>
      </w:pPr>
      <w:r w:rsidRPr="00371494">
        <w:rPr>
          <w:rFonts w:cs="Times New Roman"/>
        </w:rPr>
        <w:t xml:space="preserve">Another potential write-off is </w:t>
      </w:r>
      <w:r>
        <w:rPr>
          <w:rFonts w:cs="Times New Roman"/>
        </w:rPr>
        <w:t>for</w:t>
      </w:r>
      <w:r w:rsidRPr="00371494">
        <w:rPr>
          <w:rFonts w:cs="Times New Roman"/>
        </w:rPr>
        <w:t xml:space="preserve"> first-year bonus depreciation. </w:t>
      </w:r>
      <w:r>
        <w:rPr>
          <w:rFonts w:cs="Times New Roman"/>
        </w:rPr>
        <w:t>Like Sec. 179, t</w:t>
      </w:r>
      <w:r w:rsidRPr="00371494">
        <w:rPr>
          <w:rFonts w:cs="Times New Roman"/>
        </w:rPr>
        <w:t>his benefit also changes annually</w:t>
      </w:r>
      <w:r>
        <w:rPr>
          <w:rFonts w:cs="Times New Roman"/>
        </w:rPr>
        <w:t xml:space="preserve"> and is scheduled to disappear after 2026</w:t>
      </w:r>
      <w:r w:rsidRPr="00371494">
        <w:rPr>
          <w:rFonts w:cs="Times New Roman"/>
        </w:rPr>
        <w:t>.</w:t>
      </w:r>
    </w:p>
    <w:p w14:paraId="620D9FBF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Basics you need to know</w:t>
      </w:r>
    </w:p>
    <w:p w14:paraId="3FB64106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</w:rPr>
      </w:pPr>
      <w:r w:rsidRPr="00371494">
        <w:rPr>
          <w:rFonts w:eastAsia="Times New Roman" w:cs="Times New Roman"/>
        </w:rPr>
        <w:t>Most tangible depreciable assets, such as equipment, furniture and fixtures, computer hardware</w:t>
      </w:r>
      <w:r>
        <w:rPr>
          <w:rFonts w:eastAsia="Times New Roman" w:cs="Times New Roman"/>
        </w:rPr>
        <w:t>,</w:t>
      </w:r>
      <w:r w:rsidRPr="00371494">
        <w:rPr>
          <w:rFonts w:eastAsia="Times New Roman" w:cs="Times New Roman"/>
        </w:rPr>
        <w:t xml:space="preserve"> and some software, qualify for Sec.179 deductions in the year you purchase and place them in service. Vehicles also qualify, subject to limit</w:t>
      </w:r>
      <w:r>
        <w:rPr>
          <w:rFonts w:eastAsia="Times New Roman" w:cs="Times New Roman"/>
        </w:rPr>
        <w:t>ations</w:t>
      </w:r>
      <w:r w:rsidRPr="00371494">
        <w:rPr>
          <w:rFonts w:eastAsia="Times New Roman" w:cs="Times New Roman"/>
        </w:rPr>
        <w:t xml:space="preserve">. </w:t>
      </w:r>
    </w:p>
    <w:p w14:paraId="4DE94677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</w:rPr>
      </w:pPr>
      <w:r w:rsidRPr="00371494">
        <w:rPr>
          <w:rFonts w:eastAsia="Times New Roman" w:cs="Times New Roman"/>
        </w:rPr>
        <w:t xml:space="preserve">For tax years beginning in 2025, the Sec. 179 deduction maxes out at $1.25 million and begins to phase out when total qualifying assets exceed $3.13 million (up from $1.22 million and $3.05 million, respectively, in 2024). </w:t>
      </w:r>
    </w:p>
    <w:p w14:paraId="0941216B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</w:rPr>
      </w:pPr>
      <w:r w:rsidRPr="00371494">
        <w:rPr>
          <w:rFonts w:eastAsia="Times New Roman" w:cs="Times New Roman"/>
        </w:rPr>
        <w:t xml:space="preserve">For qualifying assets placed in service in 2025, the first-year bonus depreciation drops to 40% (down from 60% in 2024). </w:t>
      </w:r>
      <w:r>
        <w:rPr>
          <w:rFonts w:eastAsia="Times New Roman" w:cs="Times New Roman"/>
        </w:rPr>
        <w:t>In 2026, this figure drops to 20% and is scheduled to be eliminated in 2027. However, with Republicans in control in Washington, there’s a chance</w:t>
      </w:r>
      <w:r w:rsidRPr="00371494">
        <w:rPr>
          <w:rFonts w:eastAsia="Times New Roman" w:cs="Times New Roman"/>
        </w:rPr>
        <w:t xml:space="preserve"> that it could be restored to 100%</w:t>
      </w:r>
      <w:r>
        <w:rPr>
          <w:rFonts w:eastAsia="Times New Roman" w:cs="Times New Roman"/>
        </w:rPr>
        <w:t xml:space="preserve"> before then</w:t>
      </w:r>
      <w:r w:rsidRPr="00371494">
        <w:rPr>
          <w:rFonts w:eastAsia="Times New Roman" w:cs="Times New Roman"/>
        </w:rPr>
        <w:t>.</w:t>
      </w:r>
    </w:p>
    <w:p w14:paraId="22ABC5B6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  <w:b/>
          <w:bCs/>
        </w:rPr>
      </w:pPr>
      <w:r w:rsidRPr="00371494">
        <w:rPr>
          <w:rFonts w:eastAsia="Times New Roman" w:cs="Times New Roman"/>
          <w:b/>
          <w:bCs/>
        </w:rPr>
        <w:t xml:space="preserve">How </w:t>
      </w:r>
      <w:r>
        <w:rPr>
          <w:rFonts w:eastAsia="Times New Roman" w:cs="Times New Roman"/>
          <w:b/>
          <w:bCs/>
        </w:rPr>
        <w:t>i</w:t>
      </w:r>
      <w:r w:rsidRPr="00371494">
        <w:rPr>
          <w:rFonts w:eastAsia="Times New Roman" w:cs="Times New Roman"/>
          <w:b/>
          <w:bCs/>
        </w:rPr>
        <w:t>ncome affects your deduction</w:t>
      </w:r>
    </w:p>
    <w:p w14:paraId="32CCA7AB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Under tax law,</w:t>
      </w:r>
      <w:r w:rsidRPr="00371494">
        <w:rPr>
          <w:rFonts w:eastAsia="Times New Roman" w:cs="Times New Roman"/>
        </w:rPr>
        <w:t xml:space="preserve"> a Sec. 179 deduction can</w:t>
      </w:r>
      <w:r>
        <w:rPr>
          <w:rFonts w:eastAsia="Times New Roman" w:cs="Times New Roman"/>
        </w:rPr>
        <w:t>’</w:t>
      </w:r>
      <w:r w:rsidRPr="00371494">
        <w:rPr>
          <w:rFonts w:eastAsia="Times New Roman" w:cs="Times New Roman"/>
        </w:rPr>
        <w:t>t result in an overall business taxable loss.</w:t>
      </w:r>
      <w:r>
        <w:rPr>
          <w:rFonts w:eastAsia="Times New Roman" w:cs="Times New Roman"/>
        </w:rPr>
        <w:t xml:space="preserve"> So, t</w:t>
      </w:r>
      <w:r w:rsidRPr="00371494">
        <w:rPr>
          <w:rFonts w:eastAsia="Times New Roman" w:cs="Times New Roman"/>
        </w:rPr>
        <w:t xml:space="preserve">he deduction is limited to your </w:t>
      </w:r>
      <w:r>
        <w:rPr>
          <w:rFonts w:eastAsia="Times New Roman" w:cs="Times New Roman"/>
        </w:rPr>
        <w:t xml:space="preserve">net </w:t>
      </w:r>
      <w:r w:rsidRPr="00371494">
        <w:rPr>
          <w:rFonts w:eastAsia="Times New Roman" w:cs="Times New Roman"/>
        </w:rPr>
        <w:t xml:space="preserve">aggregate taxable income from all your businesses. This includes wages and other compensation, your net business income, net proceeds from </w:t>
      </w:r>
      <w:r>
        <w:rPr>
          <w:rFonts w:eastAsia="Times New Roman" w:cs="Times New Roman"/>
        </w:rPr>
        <w:t>selling</w:t>
      </w:r>
      <w:r w:rsidRPr="00371494">
        <w:rPr>
          <w:rFonts w:eastAsia="Times New Roman" w:cs="Times New Roman"/>
        </w:rPr>
        <w:t xml:space="preserve"> business assets, and possibly net rental income. </w:t>
      </w:r>
    </w:p>
    <w:p w14:paraId="704908B6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</w:rPr>
      </w:pPr>
      <w:r w:rsidRPr="00371494">
        <w:rPr>
          <w:rFonts w:eastAsia="Times New Roman" w:cs="Times New Roman"/>
        </w:rPr>
        <w:t xml:space="preserve">If the business income limitation reduces your Sec. 179 deduction, you can carry forward the disallowed amount or use first-year bonus depreciation. Unlike Sec. 179, bonus depreciation </w:t>
      </w:r>
      <w:r w:rsidRPr="00371494">
        <w:rPr>
          <w:rFonts w:eastAsia="Times New Roman" w:cs="Times New Roman"/>
        </w:rPr>
        <w:lastRenderedPageBreak/>
        <w:t xml:space="preserve">isn’t subject to dollar limits or phaseouts. (See </w:t>
      </w:r>
      <w:r w:rsidRPr="00064FF6">
        <w:rPr>
          <w:rFonts w:eastAsia="Times New Roman" w:cs="Times New Roman"/>
        </w:rPr>
        <w:t>“</w:t>
      </w:r>
      <w:r w:rsidRPr="00C16490">
        <w:rPr>
          <w:rFonts w:eastAsia="Times New Roman" w:cs="Times New Roman"/>
          <w:color w:val="000000"/>
        </w:rPr>
        <w:t>Sec. 179, first-year bonus depreciation or both?”</w:t>
      </w:r>
      <w:r w:rsidRPr="00371494">
        <w:rPr>
          <w:rFonts w:eastAsia="Times New Roman" w:cs="Times New Roman"/>
          <w:b/>
          <w:bCs/>
          <w:color w:val="000000"/>
        </w:rPr>
        <w:t xml:space="preserve"> </w:t>
      </w:r>
      <w:r w:rsidRPr="00371494">
        <w:rPr>
          <w:rFonts w:eastAsia="Times New Roman" w:cs="Times New Roman"/>
          <w:color w:val="000000"/>
        </w:rPr>
        <w:t>for an example</w:t>
      </w:r>
      <w:r w:rsidRPr="00C16490">
        <w:rPr>
          <w:rFonts w:eastAsia="Times New Roman" w:cs="Times New Roman"/>
          <w:color w:val="000000"/>
        </w:rPr>
        <w:t>.)</w:t>
      </w:r>
    </w:p>
    <w:p w14:paraId="3CE013CC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</w:rPr>
      </w:pPr>
      <w:r w:rsidRPr="00371494">
        <w:rPr>
          <w:rFonts w:eastAsia="Times New Roman" w:cs="Times New Roman"/>
          <w:b/>
          <w:bCs/>
          <w:color w:val="000000"/>
        </w:rPr>
        <w:t>Straddling two years</w:t>
      </w:r>
    </w:p>
    <w:p w14:paraId="7B643F50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371494">
        <w:rPr>
          <w:rFonts w:eastAsia="Times New Roman" w:cs="Times New Roman"/>
          <w:color w:val="000000"/>
        </w:rPr>
        <w:t xml:space="preserve">Depending on the details, you may have a robust depreciation deduction for 2024 and possibly depreciation to carry forward in 2025. </w:t>
      </w:r>
      <w:r>
        <w:rPr>
          <w:rFonts w:eastAsia="Times New Roman" w:cs="Times New Roman"/>
          <w:color w:val="000000"/>
        </w:rPr>
        <w:t>Maximizing</w:t>
      </w:r>
      <w:r w:rsidRPr="00371494">
        <w:rPr>
          <w:rFonts w:eastAsia="Times New Roman" w:cs="Times New Roman"/>
          <w:color w:val="000000"/>
        </w:rPr>
        <w:t xml:space="preserve"> the benefits of </w:t>
      </w:r>
      <w:r>
        <w:rPr>
          <w:rFonts w:eastAsia="Times New Roman" w:cs="Times New Roman"/>
          <w:color w:val="000000"/>
        </w:rPr>
        <w:t xml:space="preserve">both </w:t>
      </w:r>
      <w:r w:rsidRPr="00371494">
        <w:rPr>
          <w:rFonts w:eastAsia="Times New Roman" w:cs="Times New Roman"/>
          <w:color w:val="000000"/>
        </w:rPr>
        <w:t xml:space="preserve">depreciation methods can be complex and may adversely affect your company’s eligibility for certain other deductions. </w:t>
      </w:r>
      <w:r>
        <w:rPr>
          <w:rFonts w:eastAsia="Times New Roman" w:cs="Times New Roman"/>
          <w:color w:val="000000"/>
        </w:rPr>
        <w:t>So, d</w:t>
      </w:r>
      <w:r w:rsidRPr="00371494">
        <w:rPr>
          <w:rFonts w:eastAsia="Times New Roman" w:cs="Times New Roman"/>
          <w:color w:val="000000"/>
        </w:rPr>
        <w:t>on’t go it alone. Contact your tax advisor for help devising the optimal tax strategy for your business and stay</w:t>
      </w:r>
      <w:r>
        <w:rPr>
          <w:rFonts w:eastAsia="Times New Roman" w:cs="Times New Roman"/>
          <w:color w:val="000000"/>
        </w:rPr>
        <w:t>ing</w:t>
      </w:r>
      <w:r w:rsidRPr="00371494">
        <w:rPr>
          <w:rFonts w:eastAsia="Times New Roman" w:cs="Times New Roman"/>
          <w:color w:val="000000"/>
        </w:rPr>
        <w:t xml:space="preserve"> atop the latest tax law developments. </w:t>
      </w:r>
    </w:p>
    <w:p w14:paraId="4FDDE7D5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371494">
        <w:rPr>
          <w:rFonts w:eastAsia="Times New Roman" w:cs="Times New Roman"/>
          <w:color w:val="000000"/>
        </w:rPr>
        <w:t>Sidebar:</w:t>
      </w:r>
    </w:p>
    <w:p w14:paraId="0F13B551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</w:rPr>
      </w:pPr>
      <w:r w:rsidRPr="00371494">
        <w:rPr>
          <w:rFonts w:eastAsia="Times New Roman" w:cs="Times New Roman"/>
          <w:b/>
          <w:bCs/>
          <w:color w:val="000000"/>
        </w:rPr>
        <w:t>Sec. 179, first-year bonus depreciation or both?</w:t>
      </w:r>
    </w:p>
    <w:p w14:paraId="021F9D3A" w14:textId="77777777" w:rsidR="002C7A74" w:rsidRPr="00371494" w:rsidRDefault="002C7A74" w:rsidP="002C7A74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You may still be</w:t>
      </w:r>
      <w:r w:rsidRPr="00371494">
        <w:rPr>
          <w:rFonts w:eastAsia="Times New Roman" w:cs="Times New Roman"/>
        </w:rPr>
        <w:t xml:space="preserve"> undecided about the best tax-saving strategy for assets </w:t>
      </w:r>
      <w:r>
        <w:rPr>
          <w:rFonts w:eastAsia="Times New Roman" w:cs="Times New Roman"/>
        </w:rPr>
        <w:t xml:space="preserve">that you </w:t>
      </w:r>
      <w:r w:rsidRPr="00371494">
        <w:rPr>
          <w:rFonts w:eastAsia="Times New Roman" w:cs="Times New Roman"/>
        </w:rPr>
        <w:t>purchased and placed in service in 2024</w:t>
      </w:r>
      <w:r>
        <w:rPr>
          <w:rFonts w:eastAsia="Times New Roman" w:cs="Times New Roman"/>
        </w:rPr>
        <w:t>. H</w:t>
      </w:r>
      <w:r w:rsidRPr="00371494">
        <w:rPr>
          <w:rFonts w:eastAsia="Times New Roman" w:cs="Times New Roman"/>
        </w:rPr>
        <w:t xml:space="preserve">ere’s an example that combines two methods. </w:t>
      </w:r>
    </w:p>
    <w:p w14:paraId="11DF6169" w14:textId="77777777" w:rsidR="002C7A74" w:rsidRPr="00371494" w:rsidRDefault="002C7A74" w:rsidP="002C7A74">
      <w:pPr>
        <w:pStyle w:val="NormalWeb"/>
      </w:pPr>
      <w:r w:rsidRPr="00371494">
        <w:t>In 2024, Jim's calendar-tax-year C corporation purchased and placed $500,000 of assets in service that qualify for the Sec. 179 deduction and first-year bonus depreciation. However, due to the taxable income limitation, his company</w:t>
      </w:r>
      <w:r>
        <w:t>’</w:t>
      </w:r>
      <w:r w:rsidRPr="00371494">
        <w:t>s Sec. 179 deduction is</w:t>
      </w:r>
      <w:r>
        <w:t xml:space="preserve"> restricted</w:t>
      </w:r>
      <w:r w:rsidRPr="00371494">
        <w:t xml:space="preserve"> to only $300,000, which can be claimed on the corporation</w:t>
      </w:r>
      <w:r>
        <w:t>’</w:t>
      </w:r>
      <w:r w:rsidRPr="00371494">
        <w:t xml:space="preserve">s federal income tax return. </w:t>
      </w:r>
    </w:p>
    <w:p w14:paraId="41A8BA7C" w14:textId="77777777" w:rsidR="002C7A74" w:rsidRPr="00371494" w:rsidRDefault="002C7A74" w:rsidP="002C7A74">
      <w:pPr>
        <w:pStyle w:val="NormalWeb"/>
        <w:rPr>
          <w:i/>
        </w:rPr>
      </w:pPr>
      <w:r w:rsidRPr="00371494">
        <w:t>The company can deduct 60% of the remaining $200,000 u</w:t>
      </w:r>
      <w:r>
        <w:t>sing</w:t>
      </w:r>
      <w:r w:rsidRPr="00371494">
        <w:t xml:space="preserve"> first-year bonus depreciation ($500,000 minus $300,000). So, the write-offs for the year include 1) a Sec. 179 deduction of $300,000 and 2) $120,000 of bonus depreciation (60% of $200,000). Thus, the company achieves $420,000 in write-offs on its 2024 tax return, leaving only $80,000 to depreciate in future tax years. (Note: If the business income limitation didn</w:t>
      </w:r>
      <w:r>
        <w:t>’</w:t>
      </w:r>
      <w:r w:rsidRPr="00371494">
        <w:t>t apply, Jim</w:t>
      </w:r>
      <w:r>
        <w:t>’</w:t>
      </w:r>
      <w:r w:rsidRPr="00371494">
        <w:t>s business could have written off the entire amount under the Sec. 179 deduction rules because his company</w:t>
      </w:r>
      <w:r>
        <w:t>’</w:t>
      </w:r>
      <w:r w:rsidRPr="00371494">
        <w:t xml:space="preserve">s asset additions are below the phaseout threshold.) </w:t>
      </w:r>
    </w:p>
    <w:p w14:paraId="7AC58DE0" w14:textId="77777777" w:rsidR="0032671D" w:rsidRDefault="0032671D"/>
    <w:sectPr w:rsidR="00326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74"/>
    <w:rsid w:val="00111B36"/>
    <w:rsid w:val="002A3874"/>
    <w:rsid w:val="002C7A74"/>
    <w:rsid w:val="0032671D"/>
    <w:rsid w:val="00517489"/>
    <w:rsid w:val="009513C8"/>
    <w:rsid w:val="00B20627"/>
    <w:rsid w:val="00F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5BC9A"/>
  <w15:chartTrackingRefBased/>
  <w15:docId w15:val="{0AAFDE84-45BE-4940-B243-9EE06733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74"/>
    <w:pPr>
      <w:spacing w:after="200"/>
    </w:pPr>
    <w:rPr>
      <w:rFonts w:ascii="Times New Roman" w:eastAsia="Calibri" w:hAnsi="Times New Roman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A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A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A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A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A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A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A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A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A7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7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A7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7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A74"/>
    <w:pPr>
      <w:spacing w:after="0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7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A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2C7A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Marquez</dc:creator>
  <cp:keywords/>
  <dc:description/>
  <cp:lastModifiedBy>Antonio Marquez</cp:lastModifiedBy>
  <cp:revision>1</cp:revision>
  <dcterms:created xsi:type="dcterms:W3CDTF">2024-12-30T17:56:00Z</dcterms:created>
  <dcterms:modified xsi:type="dcterms:W3CDTF">2024-12-30T17:57:00Z</dcterms:modified>
</cp:coreProperties>
</file>